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EE" w:rsidRDefault="00365FEE" w:rsidP="00715817">
      <w:pPr>
        <w:jc w:val="both"/>
        <w:rPr>
          <w:rFonts w:ascii="Arial" w:hAnsi="Arial" w:cs="Arial"/>
          <w:b/>
          <w:sz w:val="20"/>
        </w:rPr>
      </w:pPr>
      <w:r w:rsidRPr="00365FEE">
        <w:rPr>
          <w:rFonts w:ascii="Arial" w:hAnsi="Arial" w:cs="Arial"/>
          <w:b/>
          <w:sz w:val="20"/>
        </w:rPr>
        <w:t>TPS</w:t>
      </w:r>
      <w:r>
        <w:rPr>
          <w:rFonts w:ascii="Arial" w:hAnsi="Arial" w:cs="Arial"/>
          <w:b/>
          <w:sz w:val="20"/>
        </w:rPr>
        <w:t xml:space="preserve">: </w:t>
      </w:r>
      <w:r w:rsidRPr="00365FEE">
        <w:rPr>
          <w:rFonts w:ascii="Arial" w:hAnsi="Arial" w:cs="Arial"/>
          <w:b/>
          <w:sz w:val="20"/>
        </w:rPr>
        <w:t>Board resolution</w:t>
      </w:r>
    </w:p>
    <w:p w:rsidR="00365FEE" w:rsidRPr="00201A18" w:rsidRDefault="00201A18" w:rsidP="007158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03/05/2017, Sai Gon Transportation Parking Joint Stock Company announced the Board resolution as follows:</w:t>
      </w:r>
      <w:bookmarkStart w:id="0" w:name="_GoBack"/>
      <w:bookmarkEnd w:id="0"/>
    </w:p>
    <w:p w:rsidR="00B0479E" w:rsidRDefault="0042315F" w:rsidP="00715817">
      <w:pPr>
        <w:jc w:val="both"/>
        <w:rPr>
          <w:rFonts w:ascii="Arial" w:hAnsi="Arial" w:cs="Arial"/>
          <w:sz w:val="20"/>
        </w:rPr>
      </w:pPr>
      <w:r w:rsidRPr="0097577F">
        <w:rPr>
          <w:rFonts w:ascii="Arial" w:hAnsi="Arial" w:cs="Arial"/>
          <w:b/>
          <w:sz w:val="20"/>
        </w:rPr>
        <w:t>Article 1:</w:t>
      </w:r>
      <w:r>
        <w:rPr>
          <w:rFonts w:ascii="Arial" w:hAnsi="Arial" w:cs="Arial"/>
          <w:sz w:val="20"/>
        </w:rPr>
        <w:t xml:space="preserve"> Board of Directors</w:t>
      </w:r>
      <w:r w:rsidR="00FF79B3">
        <w:rPr>
          <w:rFonts w:ascii="Arial" w:hAnsi="Arial" w:cs="Arial"/>
          <w:sz w:val="20"/>
        </w:rPr>
        <w:t xml:space="preserve"> </w:t>
      </w:r>
      <w:r w:rsidR="001C66CF">
        <w:rPr>
          <w:rFonts w:ascii="Arial" w:hAnsi="Arial" w:cs="Arial"/>
          <w:sz w:val="20"/>
        </w:rPr>
        <w:t xml:space="preserve">approves uniformly </w:t>
      </w:r>
      <w:r w:rsidR="007A0DCF">
        <w:rPr>
          <w:rFonts w:ascii="Arial" w:hAnsi="Arial" w:cs="Arial"/>
          <w:sz w:val="20"/>
        </w:rPr>
        <w:t>contents of report no.: 84/BC-STP dated on 24/4/2017 on reporting the business production operation of the first quarter</w:t>
      </w:r>
      <w:r w:rsidR="00715817">
        <w:rPr>
          <w:rFonts w:ascii="Arial" w:hAnsi="Arial" w:cs="Arial"/>
          <w:sz w:val="20"/>
        </w:rPr>
        <w:t xml:space="preserve"> in 2017 and mission direction of the second quarter in 2017.</w:t>
      </w:r>
    </w:p>
    <w:p w:rsidR="00715817" w:rsidRDefault="003C2857" w:rsidP="003C285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Implementation indicators of the first quarter in 2017</w:t>
      </w:r>
      <w:r w:rsidR="00B34C13">
        <w:rPr>
          <w:rFonts w:ascii="Arial" w:hAnsi="Arial" w:cs="Arial"/>
          <w:sz w:val="20"/>
        </w:rPr>
        <w:t>:</w:t>
      </w:r>
    </w:p>
    <w:p w:rsidR="003C2857" w:rsidRDefault="003C2857" w:rsidP="003C28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Revenue: 9.711.000.000 VND exceeding 4.1% of </w:t>
      </w:r>
      <w:r w:rsidR="00F5396F">
        <w:rPr>
          <w:rFonts w:ascii="Arial" w:hAnsi="Arial" w:cs="Arial"/>
          <w:sz w:val="20"/>
        </w:rPr>
        <w:t>the first quarter plan in 2017; r</w:t>
      </w:r>
      <w:r w:rsidR="00B34C13">
        <w:rPr>
          <w:rFonts w:ascii="Arial" w:hAnsi="Arial" w:cs="Arial"/>
          <w:sz w:val="20"/>
        </w:rPr>
        <w:t>eaching 115.1% to the same time;</w:t>
      </w:r>
    </w:p>
    <w:p w:rsidR="00E30078" w:rsidRDefault="001C212E" w:rsidP="00E300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30078">
        <w:rPr>
          <w:rFonts w:ascii="Arial" w:hAnsi="Arial" w:cs="Arial"/>
          <w:sz w:val="20"/>
        </w:rPr>
        <w:t xml:space="preserve">Profit after tax: 3.794.000.000 VND </w:t>
      </w:r>
      <w:r w:rsidR="00E30078">
        <w:rPr>
          <w:rFonts w:ascii="Arial" w:hAnsi="Arial" w:cs="Arial"/>
          <w:sz w:val="20"/>
        </w:rPr>
        <w:t>exceeding 38.7% of the first quarter plan in 2017; reaching 159.7</w:t>
      </w:r>
      <w:r w:rsidR="00B34C13">
        <w:rPr>
          <w:rFonts w:ascii="Arial" w:hAnsi="Arial" w:cs="Arial"/>
          <w:sz w:val="20"/>
        </w:rPr>
        <w:t>% to the same time;</w:t>
      </w:r>
    </w:p>
    <w:p w:rsidR="00E30078" w:rsidRDefault="00E30078" w:rsidP="00E300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30078">
        <w:rPr>
          <w:rFonts w:ascii="Arial" w:hAnsi="Arial" w:cs="Arial"/>
          <w:sz w:val="20"/>
        </w:rPr>
        <w:t xml:space="preserve">Budget: 1.902.000.000 VND </w:t>
      </w:r>
      <w:r>
        <w:rPr>
          <w:rFonts w:ascii="Arial" w:hAnsi="Arial" w:cs="Arial"/>
          <w:sz w:val="20"/>
        </w:rPr>
        <w:t>exceeding 3.9% of the first quarter plan in 2017; reaching 108.0% to the same time.</w:t>
      </w:r>
    </w:p>
    <w:p w:rsidR="00B34C13" w:rsidRDefault="00B34C13" w:rsidP="00E3007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indicators of the first quarter in 2017:</w:t>
      </w:r>
    </w:p>
    <w:p w:rsidR="00B34C13" w:rsidRDefault="00B34C13" w:rsidP="00B34C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Revenue: 9.</w:t>
      </w:r>
      <w:r w:rsidR="00BD0E91">
        <w:rPr>
          <w:rFonts w:ascii="Arial" w:hAnsi="Arial" w:cs="Arial"/>
          <w:sz w:val="20"/>
        </w:rPr>
        <w:t>455</w:t>
      </w:r>
      <w:r>
        <w:rPr>
          <w:rFonts w:ascii="Arial" w:hAnsi="Arial" w:cs="Arial"/>
          <w:sz w:val="20"/>
        </w:rPr>
        <w:t>.000.000 VND</w:t>
      </w:r>
      <w:r w:rsidR="00BD0E91">
        <w:rPr>
          <w:rFonts w:ascii="Arial" w:hAnsi="Arial" w:cs="Arial"/>
          <w:sz w:val="20"/>
        </w:rPr>
        <w:t>;</w:t>
      </w:r>
    </w:p>
    <w:p w:rsidR="00B34C13" w:rsidRDefault="00B34C13" w:rsidP="00B34C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30078">
        <w:rPr>
          <w:rFonts w:ascii="Arial" w:hAnsi="Arial" w:cs="Arial"/>
          <w:sz w:val="20"/>
        </w:rPr>
        <w:t xml:space="preserve">Profit after tax: </w:t>
      </w:r>
      <w:r w:rsidR="00BD0E91">
        <w:rPr>
          <w:rFonts w:ascii="Arial" w:hAnsi="Arial" w:cs="Arial"/>
          <w:sz w:val="20"/>
        </w:rPr>
        <w:t>2.773</w:t>
      </w:r>
      <w:r w:rsidRPr="00E30078">
        <w:rPr>
          <w:rFonts w:ascii="Arial" w:hAnsi="Arial" w:cs="Arial"/>
          <w:sz w:val="20"/>
        </w:rPr>
        <w:t>.000.000 VND</w:t>
      </w:r>
      <w:r w:rsidR="00BD0E91">
        <w:rPr>
          <w:rFonts w:ascii="Arial" w:hAnsi="Arial" w:cs="Arial"/>
          <w:sz w:val="20"/>
        </w:rPr>
        <w:t>;</w:t>
      </w:r>
    </w:p>
    <w:p w:rsidR="00B34C13" w:rsidRDefault="00B34C13" w:rsidP="00B34C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30078">
        <w:rPr>
          <w:rFonts w:ascii="Arial" w:hAnsi="Arial" w:cs="Arial"/>
          <w:sz w:val="20"/>
        </w:rPr>
        <w:t>Budget: 1.</w:t>
      </w:r>
      <w:r w:rsidR="00BD0E91">
        <w:rPr>
          <w:rFonts w:ascii="Arial" w:hAnsi="Arial" w:cs="Arial"/>
          <w:sz w:val="20"/>
        </w:rPr>
        <w:t>856</w:t>
      </w:r>
      <w:r w:rsidRPr="00E30078">
        <w:rPr>
          <w:rFonts w:ascii="Arial" w:hAnsi="Arial" w:cs="Arial"/>
          <w:sz w:val="20"/>
        </w:rPr>
        <w:t>.000.000 VND</w:t>
      </w:r>
      <w:r w:rsidR="00BD0E91">
        <w:rPr>
          <w:rFonts w:ascii="Arial" w:hAnsi="Arial" w:cs="Arial"/>
          <w:sz w:val="20"/>
        </w:rPr>
        <w:t>;</w:t>
      </w:r>
    </w:p>
    <w:p w:rsidR="00BD0E91" w:rsidRDefault="00BD0E91" w:rsidP="00BD0E91">
      <w:pPr>
        <w:jc w:val="both"/>
        <w:rPr>
          <w:rFonts w:ascii="Arial" w:hAnsi="Arial" w:cs="Arial"/>
          <w:sz w:val="20"/>
        </w:rPr>
      </w:pPr>
      <w:r w:rsidRPr="0097577F">
        <w:rPr>
          <w:rFonts w:ascii="Arial" w:hAnsi="Arial" w:cs="Arial"/>
          <w:b/>
          <w:sz w:val="20"/>
        </w:rPr>
        <w:t>Article 2:</w:t>
      </w:r>
      <w:r>
        <w:rPr>
          <w:rFonts w:ascii="Arial" w:hAnsi="Arial" w:cs="Arial"/>
          <w:sz w:val="20"/>
        </w:rPr>
        <w:t xml:space="preserve"> Board of Directors </w:t>
      </w:r>
      <w:r w:rsidR="001C66CF">
        <w:rPr>
          <w:rFonts w:ascii="Arial" w:hAnsi="Arial" w:cs="Arial"/>
          <w:sz w:val="20"/>
        </w:rPr>
        <w:t xml:space="preserve">approves uniformly </w:t>
      </w:r>
      <w:r w:rsidR="00417D43">
        <w:rPr>
          <w:rFonts w:ascii="Arial" w:hAnsi="Arial" w:cs="Arial"/>
          <w:sz w:val="20"/>
        </w:rPr>
        <w:t>contents of Financial Statement of the first quarter in 2017.</w:t>
      </w:r>
    </w:p>
    <w:p w:rsidR="00417D43" w:rsidRDefault="00417D43" w:rsidP="00BD0E91">
      <w:pPr>
        <w:jc w:val="both"/>
        <w:rPr>
          <w:rFonts w:ascii="Arial" w:hAnsi="Arial" w:cs="Arial"/>
          <w:sz w:val="20"/>
        </w:rPr>
      </w:pPr>
      <w:r w:rsidRPr="0097577F">
        <w:rPr>
          <w:rFonts w:ascii="Arial" w:hAnsi="Arial" w:cs="Arial"/>
          <w:b/>
          <w:sz w:val="20"/>
        </w:rPr>
        <w:t>Article 3:</w:t>
      </w:r>
      <w:r>
        <w:rPr>
          <w:rFonts w:ascii="Arial" w:hAnsi="Arial" w:cs="Arial"/>
          <w:sz w:val="20"/>
        </w:rPr>
        <w:t xml:space="preserve"> </w:t>
      </w:r>
      <w:r w:rsidR="000E571E">
        <w:rPr>
          <w:rFonts w:ascii="Arial" w:hAnsi="Arial" w:cs="Arial"/>
          <w:sz w:val="20"/>
        </w:rPr>
        <w:t xml:space="preserve">Board of Directors </w:t>
      </w:r>
      <w:r w:rsidR="001C66CF">
        <w:rPr>
          <w:rFonts w:ascii="Arial" w:hAnsi="Arial" w:cs="Arial"/>
          <w:sz w:val="20"/>
        </w:rPr>
        <w:t>approves uniformly</w:t>
      </w:r>
      <w:r w:rsidR="000E571E">
        <w:rPr>
          <w:rFonts w:ascii="Arial" w:hAnsi="Arial" w:cs="Arial"/>
          <w:sz w:val="20"/>
        </w:rPr>
        <w:t xml:space="preserve"> the closing list of shareholders dated 18/5/2017 to implement 2016 dividend distributio</w:t>
      </w:r>
      <w:r w:rsidR="003229AB">
        <w:rPr>
          <w:rFonts w:ascii="Arial" w:hAnsi="Arial" w:cs="Arial"/>
          <w:sz w:val="20"/>
        </w:rPr>
        <w:t>n according to Resolution no. 18/NQ-DHDCD dated 19/4/2017 by</w:t>
      </w:r>
      <w:r w:rsidR="00C24CE0">
        <w:rPr>
          <w:rFonts w:ascii="Arial" w:hAnsi="Arial" w:cs="Arial"/>
          <w:sz w:val="20"/>
        </w:rPr>
        <w:t xml:space="preserve"> Annual General Meeting of Shareholders.</w:t>
      </w:r>
    </w:p>
    <w:p w:rsidR="00C24CE0" w:rsidRPr="00BD0E91" w:rsidRDefault="00C24CE0" w:rsidP="00BD0E91">
      <w:pPr>
        <w:jc w:val="both"/>
        <w:rPr>
          <w:rFonts w:ascii="Arial" w:hAnsi="Arial" w:cs="Arial"/>
          <w:sz w:val="20"/>
        </w:rPr>
      </w:pPr>
      <w:r w:rsidRPr="0097577F">
        <w:rPr>
          <w:rFonts w:ascii="Arial" w:hAnsi="Arial" w:cs="Arial"/>
          <w:b/>
          <w:sz w:val="20"/>
        </w:rPr>
        <w:t>Article 4:</w:t>
      </w:r>
      <w:r>
        <w:rPr>
          <w:rFonts w:ascii="Arial" w:hAnsi="Arial" w:cs="Arial"/>
          <w:sz w:val="20"/>
        </w:rPr>
        <w:t xml:space="preserve"> </w:t>
      </w:r>
      <w:r w:rsidR="00DD1F2A">
        <w:rPr>
          <w:rFonts w:ascii="Arial" w:hAnsi="Arial" w:cs="Arial"/>
          <w:sz w:val="20"/>
        </w:rPr>
        <w:t xml:space="preserve">Board of Directors </w:t>
      </w:r>
      <w:r w:rsidR="001C66CF">
        <w:rPr>
          <w:rFonts w:ascii="Arial" w:hAnsi="Arial" w:cs="Arial"/>
          <w:sz w:val="20"/>
        </w:rPr>
        <w:t>approves uniformly</w:t>
      </w:r>
      <w:r w:rsidR="00DD1F2A">
        <w:rPr>
          <w:rFonts w:ascii="Arial" w:hAnsi="Arial" w:cs="Arial"/>
          <w:sz w:val="20"/>
        </w:rPr>
        <w:t xml:space="preserve"> contents of Statement no.: 85/TTr-STP dated 25/4/2017 and Statement on remuneration for Secretary of </w:t>
      </w:r>
      <w:r w:rsidR="00F70278">
        <w:rPr>
          <w:rFonts w:ascii="Arial" w:hAnsi="Arial" w:cs="Arial"/>
          <w:sz w:val="20"/>
        </w:rPr>
        <w:t>Board of Directors in 2017.</w:t>
      </w:r>
    </w:p>
    <w:p w:rsidR="001C66CF" w:rsidRDefault="008B1AB2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Remuneration for Secretary of Board of Directors in 2017 plan equivalents with remuneration for Members of Board of Supervisors and </w:t>
      </w:r>
      <w:r w:rsidR="00B30E89">
        <w:rPr>
          <w:rFonts w:ascii="Arial" w:hAnsi="Arial" w:cs="Arial"/>
          <w:sz w:val="20"/>
        </w:rPr>
        <w:t xml:space="preserve">shall be deducted from expenses of business production </w:t>
      </w:r>
      <w:r w:rsidR="001C66CF">
        <w:rPr>
          <w:rFonts w:ascii="Arial" w:hAnsi="Arial" w:cs="Arial"/>
          <w:sz w:val="20"/>
        </w:rPr>
        <w:t>operation in 2017.</w:t>
      </w:r>
    </w:p>
    <w:p w:rsidR="00B34C13" w:rsidRDefault="001C66CF" w:rsidP="00B34C13">
      <w:pPr>
        <w:jc w:val="both"/>
        <w:rPr>
          <w:rFonts w:ascii="Arial" w:hAnsi="Arial" w:cs="Arial"/>
          <w:sz w:val="20"/>
        </w:rPr>
      </w:pPr>
      <w:r w:rsidRPr="0097577F">
        <w:rPr>
          <w:rFonts w:ascii="Arial" w:hAnsi="Arial" w:cs="Arial"/>
          <w:b/>
          <w:sz w:val="20"/>
        </w:rPr>
        <w:t>Article 5:</w:t>
      </w:r>
      <w:r>
        <w:rPr>
          <w:rFonts w:ascii="Arial" w:hAnsi="Arial" w:cs="Arial"/>
          <w:sz w:val="20"/>
        </w:rPr>
        <w:t xml:space="preserve"> </w:t>
      </w:r>
      <w:r w:rsidR="008B1A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Board of Directors approves uniformly</w:t>
      </w:r>
      <w:r w:rsidR="00D805FD">
        <w:rPr>
          <w:rFonts w:ascii="Arial" w:hAnsi="Arial" w:cs="Arial"/>
          <w:sz w:val="20"/>
        </w:rPr>
        <w:t xml:space="preserve"> contents of Statement no.: 86/TTr-STP dated 26/4/2017 &amp; Statement on approvi</w:t>
      </w:r>
      <w:r w:rsidR="00666E9A">
        <w:rPr>
          <w:rFonts w:ascii="Arial" w:hAnsi="Arial" w:cs="Arial"/>
          <w:sz w:val="20"/>
        </w:rPr>
        <w:t>ng the documents of share issuance to increase capital. The documents of share issuance include:</w:t>
      </w:r>
    </w:p>
    <w:p w:rsidR="00666E9A" w:rsidRDefault="00666E9A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</w:t>
      </w:r>
      <w:r w:rsidR="002D78B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CF4FC1">
        <w:rPr>
          <w:rFonts w:ascii="Arial" w:hAnsi="Arial" w:cs="Arial"/>
          <w:sz w:val="20"/>
        </w:rPr>
        <w:t>Registrati</w:t>
      </w:r>
      <w:r w:rsidR="002D78B3">
        <w:rPr>
          <w:rFonts w:ascii="Arial" w:hAnsi="Arial" w:cs="Arial"/>
          <w:sz w:val="20"/>
        </w:rPr>
        <w:t>on on offering stocks to public;</w:t>
      </w:r>
    </w:p>
    <w:p w:rsidR="002D78B3" w:rsidRDefault="002D78B3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5.2. </w:t>
      </w:r>
      <w:r w:rsidRPr="002D78B3">
        <w:rPr>
          <w:rFonts w:ascii="Arial" w:hAnsi="Arial" w:cs="Arial"/>
          <w:sz w:val="20"/>
        </w:rPr>
        <w:t>Prospectus</w:t>
      </w:r>
      <w:r>
        <w:rPr>
          <w:rFonts w:ascii="Arial" w:hAnsi="Arial" w:cs="Arial"/>
          <w:sz w:val="20"/>
        </w:rPr>
        <w:t>;</w:t>
      </w:r>
    </w:p>
    <w:p w:rsidR="002D78B3" w:rsidRDefault="002D78B3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 Charters of company 29/12/2016;</w:t>
      </w:r>
    </w:p>
    <w:p w:rsidR="002D78B3" w:rsidRDefault="002D78B3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 Report no.: 17/BB-DHDCD dated 19/4/2017</w:t>
      </w:r>
      <w:r w:rsidR="00880C61">
        <w:rPr>
          <w:rFonts w:ascii="Arial" w:hAnsi="Arial" w:cs="Arial"/>
          <w:sz w:val="20"/>
        </w:rPr>
        <w:t xml:space="preserve">, Report of 2017 Annual General Meeting of Shareholders by </w:t>
      </w:r>
      <w:r w:rsidR="00880C61" w:rsidRPr="00880C61">
        <w:rPr>
          <w:rFonts w:ascii="Arial" w:hAnsi="Arial" w:cs="Arial"/>
          <w:sz w:val="20"/>
        </w:rPr>
        <w:t>Saigon Transportation Parking Joint Stock Company</w:t>
      </w:r>
      <w:r w:rsidR="00940CED">
        <w:rPr>
          <w:rFonts w:ascii="Arial" w:hAnsi="Arial" w:cs="Arial"/>
          <w:sz w:val="20"/>
        </w:rPr>
        <w:t>.</w:t>
      </w:r>
    </w:p>
    <w:p w:rsidR="00940CED" w:rsidRDefault="00940CED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5.6. Audited Financial Statement of 2015, 2016 and the first quarter;</w:t>
      </w:r>
    </w:p>
    <w:p w:rsidR="00CC5F76" w:rsidRDefault="00940CED" w:rsidP="00CC5F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5.7. </w:t>
      </w:r>
      <w:r w:rsidR="005857FB">
        <w:rPr>
          <w:rFonts w:ascii="Arial" w:hAnsi="Arial" w:cs="Arial"/>
          <w:sz w:val="20"/>
        </w:rPr>
        <w:t>Document</w:t>
      </w:r>
      <w:r w:rsidR="00201113">
        <w:rPr>
          <w:rFonts w:ascii="Arial" w:hAnsi="Arial" w:cs="Arial"/>
          <w:sz w:val="20"/>
        </w:rPr>
        <w:t xml:space="preserve"> </w:t>
      </w:r>
      <w:r w:rsidR="00CC5F76">
        <w:rPr>
          <w:rFonts w:ascii="Arial" w:hAnsi="Arial" w:cs="Arial"/>
          <w:sz w:val="20"/>
        </w:rPr>
        <w:t xml:space="preserve">on account blockade of </w:t>
      </w:r>
      <w:r w:rsidR="00CC5F76" w:rsidRPr="005857FB">
        <w:rPr>
          <w:rFonts w:ascii="Arial" w:hAnsi="Arial" w:cs="Arial"/>
          <w:sz w:val="20"/>
        </w:rPr>
        <w:t>Vietnam Joint Stock Commercial Bank for Industry and Trade</w:t>
      </w:r>
    </w:p>
    <w:p w:rsidR="00CF4FC1" w:rsidRDefault="00CC5F76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number</w:t>
      </w:r>
      <w:r w:rsidR="00201113">
        <w:rPr>
          <w:rFonts w:ascii="Arial" w:hAnsi="Arial" w:cs="Arial"/>
          <w:sz w:val="20"/>
        </w:rPr>
        <w:t xml:space="preserve"> 1794/CNTPHCM-KTGD dated 29/3/2017 on </w:t>
      </w:r>
      <w:r>
        <w:rPr>
          <w:rFonts w:ascii="Arial" w:hAnsi="Arial" w:cs="Arial"/>
          <w:sz w:val="20"/>
        </w:rPr>
        <w:t>confirming the account’s information;</w:t>
      </w:r>
    </w:p>
    <w:p w:rsidR="00CC5F76" w:rsidRDefault="00CC5F76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5.8. </w:t>
      </w:r>
      <w:r w:rsidR="0090084B">
        <w:rPr>
          <w:rFonts w:ascii="Arial" w:hAnsi="Arial" w:cs="Arial"/>
          <w:sz w:val="20"/>
        </w:rPr>
        <w:t>Document no. 88/STP-KTTC dated 26/4/2017 on applying f</w:t>
      </w:r>
      <w:r w:rsidR="0090084B" w:rsidRPr="0090084B">
        <w:rPr>
          <w:rFonts w:ascii="Arial" w:hAnsi="Arial" w:cs="Arial"/>
          <w:sz w:val="20"/>
        </w:rPr>
        <w:t>oreign ownership rate</w:t>
      </w:r>
      <w:r w:rsidR="0090084B">
        <w:rPr>
          <w:rFonts w:ascii="Arial" w:hAnsi="Arial" w:cs="Arial"/>
          <w:sz w:val="20"/>
        </w:rPr>
        <w:t xml:space="preserve"> to b</w:t>
      </w:r>
      <w:r w:rsidR="0090084B" w:rsidRPr="0090084B">
        <w:rPr>
          <w:rFonts w:ascii="Arial" w:hAnsi="Arial" w:cs="Arial"/>
          <w:sz w:val="20"/>
        </w:rPr>
        <w:t>usiness investment</w:t>
      </w:r>
      <w:r w:rsidR="0090084B">
        <w:rPr>
          <w:rFonts w:ascii="Arial" w:hAnsi="Arial" w:cs="Arial"/>
          <w:sz w:val="20"/>
        </w:rPr>
        <w:t xml:space="preserve"> lines of </w:t>
      </w:r>
      <w:r w:rsidR="00753DB4" w:rsidRPr="00880C61">
        <w:rPr>
          <w:rFonts w:ascii="Arial" w:hAnsi="Arial" w:cs="Arial"/>
          <w:sz w:val="20"/>
        </w:rPr>
        <w:t>Saigon Transportation Parking Joint Stock Company</w:t>
      </w:r>
      <w:r w:rsidR="00753DB4">
        <w:rPr>
          <w:rFonts w:ascii="Arial" w:hAnsi="Arial" w:cs="Arial"/>
          <w:sz w:val="20"/>
        </w:rPr>
        <w:t>;</w:t>
      </w:r>
    </w:p>
    <w:p w:rsidR="00753DB4" w:rsidRDefault="00753DB4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5.9. Contract no. 53/2016/HD/TV/DAS dated 21/12/2016 </w:t>
      </w:r>
      <w:r w:rsidR="006336A9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6336A9" w:rsidRPr="006336A9">
        <w:rPr>
          <w:rFonts w:ascii="Arial" w:hAnsi="Arial" w:cs="Arial"/>
          <w:sz w:val="20"/>
        </w:rPr>
        <w:t>Consultancy contract</w:t>
      </w:r>
      <w:r w:rsidR="006336A9">
        <w:rPr>
          <w:rFonts w:ascii="Arial" w:hAnsi="Arial" w:cs="Arial"/>
          <w:sz w:val="20"/>
        </w:rPr>
        <w:t xml:space="preserve"> on issuing stocks to publics.</w:t>
      </w:r>
    </w:p>
    <w:p w:rsidR="006336A9" w:rsidRDefault="006336A9" w:rsidP="00B34C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 B</w:t>
      </w:r>
      <w:r w:rsidRPr="006336A9">
        <w:rPr>
          <w:rFonts w:ascii="Arial" w:hAnsi="Arial" w:cs="Arial"/>
          <w:sz w:val="20"/>
        </w:rPr>
        <w:t>ackground</w:t>
      </w:r>
      <w:r>
        <w:rPr>
          <w:rFonts w:ascii="Arial" w:hAnsi="Arial" w:cs="Arial"/>
          <w:sz w:val="20"/>
        </w:rPr>
        <w:t xml:space="preserve"> on increasing charter capital;</w:t>
      </w:r>
    </w:p>
    <w:p w:rsidR="006336A9" w:rsidRPr="00B34C13" w:rsidRDefault="006336A9" w:rsidP="00B34C13">
      <w:pPr>
        <w:jc w:val="both"/>
        <w:rPr>
          <w:rFonts w:ascii="Arial" w:hAnsi="Arial" w:cs="Arial"/>
          <w:sz w:val="20"/>
        </w:rPr>
      </w:pPr>
      <w:r w:rsidRPr="0097577F">
        <w:rPr>
          <w:rFonts w:ascii="Arial" w:hAnsi="Arial" w:cs="Arial"/>
          <w:b/>
          <w:sz w:val="20"/>
        </w:rPr>
        <w:t>Article 6</w:t>
      </w:r>
      <w:r w:rsidR="00CC5D77" w:rsidRPr="0097577F">
        <w:rPr>
          <w:rFonts w:ascii="Arial" w:hAnsi="Arial" w:cs="Arial"/>
          <w:b/>
          <w:sz w:val="20"/>
        </w:rPr>
        <w:t>:</w:t>
      </w:r>
      <w:r w:rsidR="00CC5D77">
        <w:rPr>
          <w:rFonts w:ascii="Arial" w:hAnsi="Arial" w:cs="Arial"/>
          <w:sz w:val="20"/>
        </w:rPr>
        <w:t xml:space="preserve"> Appoint Board of General Directors, offices, units and the relative individuals shall </w:t>
      </w:r>
      <w:r w:rsidR="0097577F">
        <w:rPr>
          <w:rFonts w:ascii="Arial" w:hAnsi="Arial" w:cs="Arial"/>
          <w:sz w:val="20"/>
        </w:rPr>
        <w:t>implement this Resolution./.</w:t>
      </w:r>
    </w:p>
    <w:sectPr w:rsidR="006336A9" w:rsidRPr="00B34C13" w:rsidSect="0097577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72B59"/>
    <w:multiLevelType w:val="hybridMultilevel"/>
    <w:tmpl w:val="0EE6E35E"/>
    <w:lvl w:ilvl="0" w:tplc="56429F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260BB"/>
    <w:multiLevelType w:val="multilevel"/>
    <w:tmpl w:val="CEA41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C5"/>
    <w:rsid w:val="000E571E"/>
    <w:rsid w:val="001C212E"/>
    <w:rsid w:val="001C66CF"/>
    <w:rsid w:val="00201113"/>
    <w:rsid w:val="00201A18"/>
    <w:rsid w:val="002D78B3"/>
    <w:rsid w:val="003229AB"/>
    <w:rsid w:val="00365FEE"/>
    <w:rsid w:val="003C2857"/>
    <w:rsid w:val="003D2D9E"/>
    <w:rsid w:val="00417D43"/>
    <w:rsid w:val="0042315F"/>
    <w:rsid w:val="005857FB"/>
    <w:rsid w:val="006336A9"/>
    <w:rsid w:val="00666E9A"/>
    <w:rsid w:val="00715817"/>
    <w:rsid w:val="00753DB4"/>
    <w:rsid w:val="007A0DCF"/>
    <w:rsid w:val="00812038"/>
    <w:rsid w:val="00880C61"/>
    <w:rsid w:val="008B1AB2"/>
    <w:rsid w:val="008C6305"/>
    <w:rsid w:val="0090084B"/>
    <w:rsid w:val="00940CED"/>
    <w:rsid w:val="0097577F"/>
    <w:rsid w:val="00B0479E"/>
    <w:rsid w:val="00B30E89"/>
    <w:rsid w:val="00B34C13"/>
    <w:rsid w:val="00BD0E91"/>
    <w:rsid w:val="00C24CE0"/>
    <w:rsid w:val="00CC5D77"/>
    <w:rsid w:val="00CC5F76"/>
    <w:rsid w:val="00CF4FC1"/>
    <w:rsid w:val="00D805FD"/>
    <w:rsid w:val="00DD1F2A"/>
    <w:rsid w:val="00E30078"/>
    <w:rsid w:val="00EE0551"/>
    <w:rsid w:val="00F23C02"/>
    <w:rsid w:val="00F5396F"/>
    <w:rsid w:val="00F70278"/>
    <w:rsid w:val="00F81CC5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F8F67-6953-4521-A441-C145C546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2017-05-12T02:37:00Z</dcterms:created>
  <dcterms:modified xsi:type="dcterms:W3CDTF">2017-05-12T08:45:00Z</dcterms:modified>
</cp:coreProperties>
</file>